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75" w:val="left" w:leader="none"/>
        </w:tabs>
        <w:spacing w:line="269" w:lineRule="exact" w:before="130"/>
      </w:pPr>
      <w:r>
        <w:rPr>
          <w:position w:val="1"/>
        </w:rPr>
        <w:t>Nombre</w:t>
      </w:r>
      <w:r>
        <w:rPr>
          <w:spacing w:val="-6"/>
          <w:position w:val="1"/>
        </w:rPr>
        <w:t> </w:t>
      </w:r>
      <w:r>
        <w:rPr>
          <w:position w:val="1"/>
        </w:rPr>
        <w:t>de</w:t>
      </w:r>
      <w:r>
        <w:rPr>
          <w:spacing w:val="-7"/>
          <w:position w:val="1"/>
        </w:rPr>
        <w:t> </w:t>
      </w:r>
      <w:r>
        <w:rPr>
          <w:position w:val="1"/>
        </w:rPr>
        <w:t>la</w:t>
      </w:r>
      <w:r>
        <w:rPr>
          <w:spacing w:val="-7"/>
          <w:position w:val="1"/>
        </w:rPr>
        <w:t> </w:t>
      </w:r>
      <w:r>
        <w:rPr>
          <w:position w:val="1"/>
        </w:rPr>
        <w:t>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8"/>
        </w:rPr>
        <w:t> </w:t>
      </w:r>
      <w:r>
        <w:rPr>
          <w:position w:val="1"/>
        </w:rPr>
        <w:t>8/abr./2024</w:t>
      </w:r>
    </w:p>
    <w:p>
      <w:pPr>
        <w:spacing w:after="0" w:line="269" w:lineRule="exact"/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620" w:right="1640"/>
          <w:pgNumType w:start="1"/>
        </w:sectPr>
      </w:pPr>
    </w:p>
    <w:p>
      <w:pPr>
        <w:pStyle w:val="BodyText"/>
        <w:spacing w:line="256" w:lineRule="exact"/>
      </w:pPr>
      <w:r>
        <w:rPr>
          <w:spacing w:val="-1"/>
        </w:rPr>
        <w:t>ANUSCHEH</w:t>
      </w:r>
      <w:r>
        <w:rPr>
          <w:spacing w:val="-12"/>
        </w:rPr>
        <w:t> </w:t>
      </w:r>
      <w:r>
        <w:rPr>
          <w:spacing w:val="-1"/>
        </w:rPr>
        <w:t>MISSAGHIAN</w:t>
      </w:r>
      <w:r>
        <w:rPr>
          <w:spacing w:val="-14"/>
        </w:rPr>
        <w:t> </w:t>
      </w:r>
      <w:r>
        <w:rPr>
          <w:spacing w:val="-1"/>
        </w:rPr>
        <w:t>SL-21</w:t>
      </w:r>
      <w:r>
        <w:rPr>
          <w:spacing w:val="-12"/>
        </w:rPr>
        <w:t> </w:t>
      </w:r>
      <w:r>
        <w:rPr>
          <w:spacing w:val="-1"/>
        </w:rPr>
        <w:t>ASESORIA</w:t>
      </w:r>
    </w:p>
    <w:p>
      <w:pPr>
        <w:pStyle w:val="BodyText"/>
        <w:spacing w:line="235" w:lineRule="auto" w:before="5"/>
        <w:ind w:firstLine="1207"/>
      </w:pPr>
      <w:r>
        <w:rPr>
          <w:b w:val="0"/>
        </w:rPr>
        <w:br w:type="column"/>
      </w:r>
      <w:r>
        <w:rPr/>
        <w:t>Ejercicio</w:t>
      </w:r>
      <w:r>
        <w:rPr>
          <w:spacing w:val="-3"/>
        </w:rPr>
        <w:t> </w:t>
      </w:r>
      <w:r>
        <w:rPr/>
        <w:t>actual:</w:t>
      </w:r>
      <w:r>
        <w:rPr>
          <w:spacing w:val="16"/>
        </w:rPr>
        <w:t> </w:t>
      </w:r>
      <w:r>
        <w:rPr/>
        <w:t>2021</w:t>
      </w:r>
      <w:r>
        <w:rPr>
          <w:spacing w:val="1"/>
        </w:rPr>
        <w:t> </w:t>
      </w:r>
      <w:r>
        <w:rPr/>
        <w:t>APERTURA</w:t>
      </w:r>
      <w:r>
        <w:rPr>
          <w:spacing w:val="31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"/>
        </w:rPr>
        <w:t> </w:t>
      </w:r>
      <w:r>
        <w:rPr/>
        <w:t>Período</w:t>
      </w:r>
      <w:r>
        <w:rPr>
          <w:spacing w:val="5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5"/>
        </w:rPr>
        <w:t> </w:t>
      </w:r>
      <w:r>
        <w:rPr/>
        <w:t>DICIEMBRE</w:t>
      </w:r>
    </w:p>
    <w:p>
      <w:pPr>
        <w:spacing w:after="0" w:line="235" w:lineRule="auto"/>
        <w:sectPr>
          <w:type w:val="continuous"/>
          <w:pgSz w:w="11910" w:h="16840"/>
          <w:pgMar w:top="800" w:bottom="560" w:left="620" w:right="1640"/>
          <w:cols w:num="2" w:equalWidth="0">
            <w:col w:w="4902" w:space="76"/>
            <w:col w:w="467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5.284,48</w:t>
            </w:r>
          </w:p>
        </w:tc>
      </w:tr>
      <w:tr>
        <w:trPr>
          <w:trHeight w:val="968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32" w:lineRule="auto" w:before="34" w:after="0"/>
              <w:ind w:left="652" w:right="430" w:hanging="4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9"/>
                <w:sz w:val="19"/>
              </w:rPr>
              <w:t> </w:t>
            </w:r>
            <w:r>
              <w:rPr>
                <w:b/>
                <w:sz w:val="19"/>
              </w:rPr>
              <w:t>largo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28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4.804,48</w:t>
            </w:r>
          </w:p>
        </w:tc>
      </w:tr>
      <w:tr>
        <w:trPr>
          <w:trHeight w:val="124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480,00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1.038.555,53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931.249,54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2.900,00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desembolsos 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928.349,54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59.206,00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48.099,99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1.043.840,01</w:t>
            </w:r>
          </w:p>
        </w:tc>
      </w:tr>
    </w:tbl>
    <w:p>
      <w:pPr>
        <w:spacing w:after="0"/>
        <w:jc w:val="right"/>
        <w:rPr>
          <w:sz w:val="26"/>
        </w:rPr>
        <w:sectPr>
          <w:type w:val="continuous"/>
          <w:pgSz w:w="11910" w:h="16840"/>
          <w:pgMar w:top="800" w:bottom="560" w:left="620" w:right="1640"/>
        </w:sectPr>
      </w:pPr>
    </w:p>
    <w:p>
      <w:pPr>
        <w:pStyle w:val="BodyText"/>
        <w:tabs>
          <w:tab w:pos="6354" w:val="left" w:leader="none"/>
        </w:tabs>
        <w:spacing w:before="1"/>
      </w:pPr>
      <w:r>
        <w:rPr/>
        <w:t>ANUSCHEH</w:t>
      </w:r>
      <w:r>
        <w:rPr>
          <w:spacing w:val="-14"/>
        </w:rPr>
        <w:t> </w:t>
      </w:r>
      <w:r>
        <w:rPr/>
        <w:t>MISSAGHIAN</w:t>
      </w:r>
      <w:r>
        <w:rPr>
          <w:spacing w:val="-16"/>
        </w:rPr>
        <w:t> </w:t>
      </w:r>
      <w:r>
        <w:rPr/>
        <w:t>SL-21</w:t>
      </w:r>
      <w:r>
        <w:rPr>
          <w:spacing w:val="-13"/>
        </w:rPr>
        <w:t> </w:t>
      </w:r>
      <w:r>
        <w:rPr/>
        <w:t>ASESORIA</w:t>
        <w:tab/>
        <w:t>Ejercicio</w:t>
      </w:r>
      <w:r>
        <w:rPr>
          <w:spacing w:val="-6"/>
        </w:rPr>
        <w:t> </w:t>
      </w:r>
      <w:r>
        <w:rPr/>
        <w:t>actual:</w:t>
      </w:r>
      <w:r>
        <w:rPr>
          <w:spacing w:val="7"/>
        </w:rPr>
        <w:t> </w:t>
      </w:r>
      <w:r>
        <w:rPr/>
        <w:t>2021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655"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91.208,11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1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39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4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8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5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90.732,81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13.100,00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13.100,00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74.197,03</w:t>
            </w:r>
          </w:p>
        </w:tc>
      </w:tr>
      <w:tr>
        <w:trPr>
          <w:trHeight w:val="87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74.197,03</w:t>
            </w:r>
          </w:p>
        </w:tc>
      </w:tr>
      <w:tr>
        <w:trPr>
          <w:trHeight w:val="1023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3.435,78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475,30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ind w:right="1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50,19</w:t>
            </w: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40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50,19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8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952.581,71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952.085,60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21"/>
              </w:rPr>
              <w:t>1.</w:t>
              <w:tab/>
            </w: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952.085,60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01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496,11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496,11</w:t>
            </w:r>
          </w:p>
        </w:tc>
      </w:tr>
      <w:tr>
        <w:trPr>
          <w:trHeight w:val="263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2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1.043.840,01</w:t>
            </w:r>
          </w:p>
        </w:tc>
      </w:tr>
    </w:tbl>
    <w:sectPr>
      <w:pgSz w:w="11910" w:h="16840"/>
      <w:pgMar w:header="584" w:footer="372" w:top="800" w:bottom="56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503.359985pt;margin-top:812.320007pt;width:66.6pt;height:14.6pt;mso-position-horizontal-relative:page;mso-position-vertical-relative:page;z-index:-15962112" type="#_x0000_t202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sz w:val="21"/>
                  </w:rPr>
                  <w:t>Página</w:t>
                </w:r>
                <w:r>
                  <w:rPr>
                    <w:rFonts w:ascii="Palatino Linotype" w:hAnsi="Palatino Linotype"/>
                    <w:spacing w:val="-1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/>
                    <w:sz w:val="21"/>
                  </w:rPr>
                  <w:t> de</w:t>
                </w:r>
                <w:r>
                  <w:rPr>
                    <w:rFonts w:ascii="Palatino Linotype" w:hAnsi="Palatino Linotype"/>
                    <w:spacing w:val="-2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160004pt;margin-top:24.741283pt;width:138.950pt;height:16.9pt;mso-position-horizontal-relative:page;mso-position-vertical-relative:page;z-index:-159626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BALANCE</w:t>
                </w:r>
                <w:r>
                  <w:rPr>
                    <w:b/>
                    <w:spacing w:val="1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2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PYMES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2024-04-09T17:36:42Z</dcterms:created>
  <dcterms:modified xsi:type="dcterms:W3CDTF">2024-04-09T17:36:42Z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